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309A47E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87531" w:rsidRPr="00787531">
        <w:rPr>
          <w:rFonts w:eastAsia="Batang" w:cs="Times New Roman"/>
          <w:b/>
          <w:sz w:val="28"/>
          <w:szCs w:val="28"/>
        </w:rPr>
        <w:t>8</w:t>
      </w:r>
      <w:r w:rsidRPr="00787531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47562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1E631C4F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702EB">
        <w:rPr>
          <w:rFonts w:eastAsia="Batang" w:cs="Times New Roman"/>
          <w:b/>
          <w:sz w:val="28"/>
          <w:szCs w:val="28"/>
        </w:rPr>
        <w:t>1</w:t>
      </w:r>
      <w:r w:rsidR="00CA7FD2">
        <w:rPr>
          <w:rFonts w:eastAsia="Batang" w:cs="Times New Roman"/>
          <w:b/>
          <w:sz w:val="28"/>
          <w:szCs w:val="28"/>
        </w:rPr>
        <w:t>7</w:t>
      </w:r>
      <w:r w:rsidR="00E05C0A">
        <w:rPr>
          <w:rFonts w:eastAsia="Batang" w:cs="Times New Roman"/>
          <w:b/>
          <w:sz w:val="28"/>
          <w:szCs w:val="28"/>
        </w:rPr>
        <w:t xml:space="preserve"> </w:t>
      </w:r>
      <w:r w:rsidR="00647562">
        <w:rPr>
          <w:rFonts w:eastAsia="Batang" w:cs="Times New Roman"/>
          <w:b/>
          <w:sz w:val="28"/>
          <w:szCs w:val="28"/>
        </w:rPr>
        <w:t>stycznia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222BC3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2BBA956F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  <w:r w:rsidR="000C0F47">
        <w:rPr>
          <w:rFonts w:eastAsia="Batang" w:cs="Times New Roman"/>
          <w:b/>
          <w:bCs/>
          <w:sz w:val="24"/>
        </w:rPr>
        <w:t xml:space="preserve"> w obrębie Nowa Święta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34571E3A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0C0F47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(Dz. U. z 20</w:t>
      </w:r>
      <w:r w:rsidR="00E05C0A">
        <w:rPr>
          <w:rFonts w:eastAsia="Times New Roman" w:cs="Times New Roman"/>
          <w:sz w:val="24"/>
          <w:szCs w:val="24"/>
          <w:lang w:eastAsia="pl-PL"/>
        </w:rPr>
        <w:t>2</w:t>
      </w:r>
      <w:r w:rsidR="00647562">
        <w:rPr>
          <w:rFonts w:eastAsia="Times New Roman" w:cs="Times New Roman"/>
          <w:sz w:val="24"/>
          <w:szCs w:val="24"/>
          <w:lang w:eastAsia="pl-PL"/>
        </w:rPr>
        <w:t>1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E05C0A">
        <w:rPr>
          <w:rFonts w:eastAsia="Times New Roman" w:cs="Times New Roman"/>
          <w:sz w:val="24"/>
          <w:szCs w:val="24"/>
          <w:lang w:eastAsia="pl-PL"/>
        </w:rPr>
        <w:t>1</w:t>
      </w:r>
      <w:r w:rsidR="00647562">
        <w:rPr>
          <w:rFonts w:eastAsia="Times New Roman" w:cs="Times New Roman"/>
          <w:sz w:val="24"/>
          <w:szCs w:val="24"/>
          <w:lang w:eastAsia="pl-PL"/>
        </w:rPr>
        <w:t>899</w:t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501EB55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7F63807E" w14:textId="77777777" w:rsidR="00CA7FD2" w:rsidRPr="00CA7FD2" w:rsidRDefault="00CA7FD2" w:rsidP="00CA7FD2">
      <w:pPr>
        <w:rPr>
          <w:rFonts w:eastAsia="Times New Roman"/>
          <w:lang w:eastAsia="pl-PL"/>
        </w:rPr>
      </w:pPr>
    </w:p>
    <w:p w14:paraId="2A739516" w14:textId="77777777" w:rsidR="00CA7FD2" w:rsidRDefault="00CA7FD2" w:rsidP="00CA7FD2">
      <w:pPr>
        <w:rPr>
          <w:rFonts w:eastAsia="Times New Roman"/>
          <w:lang w:eastAsia="pl-PL"/>
        </w:rPr>
      </w:pPr>
    </w:p>
    <w:p w14:paraId="5528BC0C" w14:textId="57D3256B" w:rsidR="00CA7FD2" w:rsidRDefault="00CA7FD2" w:rsidP="00CA7FD2">
      <w:pPr>
        <w:tabs>
          <w:tab w:val="left" w:pos="6390"/>
        </w:tabs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</w:p>
    <w:p w14:paraId="1302E547" w14:textId="7A52DC1C" w:rsidR="00CA7FD2" w:rsidRPr="00CA7FD2" w:rsidRDefault="00CA7FD2" w:rsidP="00CA7FD2">
      <w:pPr>
        <w:tabs>
          <w:tab w:val="left" w:pos="6390"/>
        </w:tabs>
        <w:rPr>
          <w:rFonts w:eastAsia="Times New Roman"/>
          <w:lang w:eastAsia="pl-PL"/>
        </w:rPr>
        <w:sectPr w:rsidR="00CA7FD2" w:rsidRPr="00CA7FD2" w:rsidSect="00420E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  <w:r>
        <w:rPr>
          <w:rFonts w:eastAsia="Times New Roman"/>
          <w:lang w:eastAsia="pl-PL"/>
        </w:rPr>
        <w:tab/>
      </w: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634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708"/>
        <w:gridCol w:w="851"/>
        <w:gridCol w:w="811"/>
        <w:gridCol w:w="687"/>
        <w:gridCol w:w="1559"/>
        <w:gridCol w:w="2613"/>
        <w:gridCol w:w="1984"/>
        <w:gridCol w:w="1276"/>
        <w:gridCol w:w="851"/>
        <w:gridCol w:w="1417"/>
        <w:gridCol w:w="1068"/>
      </w:tblGrid>
      <w:tr w:rsidR="003B7E04" w:rsidRPr="009C4F3F" w14:paraId="42B67653" w14:textId="77777777" w:rsidTr="003B7E04">
        <w:trPr>
          <w:trHeight w:val="259"/>
          <w:jc w:val="center"/>
        </w:trPr>
        <w:tc>
          <w:tcPr>
            <w:tcW w:w="533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5892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613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984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276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851" w:type="dxa"/>
            <w:vMerge w:val="restart"/>
          </w:tcPr>
          <w:p w14:paraId="255ED3C9" w14:textId="77777777" w:rsidR="00EC7435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  <w:p w14:paraId="6A69C33C" w14:textId="1224B5CA" w:rsidR="005C4CB6" w:rsidRPr="009C4F3F" w:rsidRDefault="00E92C12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 zł</w:t>
            </w:r>
          </w:p>
        </w:tc>
        <w:tc>
          <w:tcPr>
            <w:tcW w:w="1417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68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3B7E04" w:rsidRPr="009C4F3F" w14:paraId="798F5663" w14:textId="77777777" w:rsidTr="003B7E04">
        <w:trPr>
          <w:trHeight w:val="249"/>
          <w:jc w:val="center"/>
        </w:trPr>
        <w:tc>
          <w:tcPr>
            <w:tcW w:w="533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6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613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3B7E04" w:rsidRPr="009C4F3F" w14:paraId="4D1AC27F" w14:textId="77777777" w:rsidTr="003B7E04">
        <w:trPr>
          <w:trHeight w:val="265"/>
          <w:jc w:val="center"/>
        </w:trPr>
        <w:tc>
          <w:tcPr>
            <w:tcW w:w="533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708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613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3B7E04" w:rsidRPr="009C4F3F" w14:paraId="43BA80F5" w14:textId="77777777" w:rsidTr="003B7E04">
        <w:trPr>
          <w:trHeight w:val="1656"/>
          <w:jc w:val="center"/>
        </w:trPr>
        <w:tc>
          <w:tcPr>
            <w:tcW w:w="533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D0CD91A" w14:textId="37C168CA" w:rsidR="005C4CB6" w:rsidRPr="009C4F3F" w:rsidRDefault="0027277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Nowa </w:t>
            </w:r>
            <w:r w:rsidR="007B0027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708" w:type="dxa"/>
          </w:tcPr>
          <w:p w14:paraId="30F18A78" w14:textId="07F72666" w:rsidR="005C4CB6" w:rsidRPr="009C4F3F" w:rsidRDefault="0027277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Nowa </w:t>
            </w:r>
            <w:r w:rsidR="007B0027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851" w:type="dxa"/>
          </w:tcPr>
          <w:p w14:paraId="3D59F722" w14:textId="01BA6DE1" w:rsidR="005C4CB6" w:rsidRPr="009C4F3F" w:rsidRDefault="003B7E04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118/</w:t>
            </w:r>
            <w:r w:rsidR="00647562">
              <w:rPr>
                <w:rFonts w:eastAsia="Batang"/>
                <w:sz w:val="18"/>
                <w:szCs w:val="18"/>
              </w:rPr>
              <w:t>8</w:t>
            </w:r>
          </w:p>
        </w:tc>
        <w:tc>
          <w:tcPr>
            <w:tcW w:w="811" w:type="dxa"/>
          </w:tcPr>
          <w:p w14:paraId="3F6AAF84" w14:textId="40715AE7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CB4372">
              <w:rPr>
                <w:rFonts w:eastAsia="Batang"/>
                <w:sz w:val="18"/>
                <w:szCs w:val="18"/>
              </w:rPr>
              <w:t>1643</w:t>
            </w:r>
          </w:p>
        </w:tc>
        <w:tc>
          <w:tcPr>
            <w:tcW w:w="687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98987F4" w14:textId="15587F91" w:rsidR="005C4CB6" w:rsidRPr="009A6DC9" w:rsidRDefault="003B7E04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PO1Z/00027368/3</w:t>
            </w:r>
          </w:p>
        </w:tc>
        <w:tc>
          <w:tcPr>
            <w:tcW w:w="2613" w:type="dxa"/>
          </w:tcPr>
          <w:p w14:paraId="5C319BD7" w14:textId="5EB0E924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D71A48">
              <w:rPr>
                <w:rFonts w:eastAsia="Batang"/>
                <w:sz w:val="18"/>
                <w:szCs w:val="18"/>
              </w:rPr>
              <w:t xml:space="preserve">we </w:t>
            </w:r>
            <w:r>
              <w:rPr>
                <w:rFonts w:eastAsia="Batang"/>
                <w:sz w:val="18"/>
                <w:szCs w:val="18"/>
              </w:rPr>
              <w:t xml:space="preserve">wsi </w:t>
            </w:r>
            <w:r w:rsidR="00D71A48">
              <w:rPr>
                <w:rFonts w:eastAsia="Batang"/>
                <w:sz w:val="18"/>
                <w:szCs w:val="18"/>
              </w:rPr>
              <w:t xml:space="preserve">Nowa </w:t>
            </w:r>
            <w:r w:rsidR="00746112">
              <w:rPr>
                <w:rFonts w:eastAsia="Batang"/>
                <w:sz w:val="18"/>
                <w:szCs w:val="18"/>
              </w:rPr>
              <w:t xml:space="preserve">Święta, w </w:t>
            </w:r>
            <w:r w:rsidR="00D71A48">
              <w:rPr>
                <w:rFonts w:eastAsia="Batang"/>
                <w:sz w:val="18"/>
                <w:szCs w:val="18"/>
              </w:rPr>
              <w:t xml:space="preserve">odległości 8 km od miasta powiatowego </w:t>
            </w:r>
            <w:r w:rsidR="00746112">
              <w:rPr>
                <w:rFonts w:eastAsia="Batang"/>
                <w:sz w:val="18"/>
                <w:szCs w:val="18"/>
              </w:rPr>
              <w:t>Złot</w:t>
            </w:r>
            <w:r w:rsidR="00D71A48">
              <w:rPr>
                <w:rFonts w:eastAsia="Batang"/>
                <w:sz w:val="18"/>
                <w:szCs w:val="18"/>
              </w:rPr>
              <w:t>ów</w:t>
            </w:r>
            <w:r w:rsidR="00E54D32">
              <w:rPr>
                <w:rFonts w:eastAsia="Batang"/>
                <w:sz w:val="18"/>
                <w:szCs w:val="18"/>
              </w:rPr>
              <w:t xml:space="preserve"> i 1,5 km od Jez. Śmiardowskiego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E54D32">
              <w:rPr>
                <w:rFonts w:eastAsia="Batang"/>
                <w:sz w:val="18"/>
                <w:szCs w:val="18"/>
              </w:rPr>
              <w:t xml:space="preserve">w sąsiedztwie terenów rolnych i leśnych, zabudowy mieszkaniowej, siedliskowej, </w:t>
            </w:r>
            <w:r w:rsidR="00746112">
              <w:rPr>
                <w:rFonts w:eastAsia="Batang"/>
                <w:sz w:val="18"/>
                <w:szCs w:val="18"/>
              </w:rPr>
              <w:t>teren płaski</w:t>
            </w:r>
            <w:r w:rsidR="000B4BEF">
              <w:rPr>
                <w:rFonts w:eastAsia="Batang"/>
                <w:sz w:val="18"/>
                <w:szCs w:val="18"/>
              </w:rPr>
              <w:t xml:space="preserve"> w k</w:t>
            </w:r>
            <w:r w:rsidR="00746112">
              <w:rPr>
                <w:rFonts w:eastAsia="Batang"/>
                <w:sz w:val="18"/>
                <w:szCs w:val="18"/>
              </w:rPr>
              <w:t>ształcie</w:t>
            </w:r>
            <w:r w:rsidR="000B4BEF">
              <w:rPr>
                <w:rFonts w:eastAsia="Batang"/>
                <w:sz w:val="18"/>
                <w:szCs w:val="18"/>
              </w:rPr>
              <w:t xml:space="preserve"> zbliżonym do prostokąta</w:t>
            </w:r>
            <w:r w:rsidR="00746112">
              <w:rPr>
                <w:rFonts w:eastAsia="Batang"/>
                <w:sz w:val="18"/>
                <w:szCs w:val="18"/>
              </w:rPr>
              <w:t>, niezabudowany</w:t>
            </w:r>
            <w:r w:rsidR="000B4BEF">
              <w:rPr>
                <w:rFonts w:eastAsia="Batang"/>
                <w:sz w:val="18"/>
                <w:szCs w:val="18"/>
              </w:rPr>
              <w:t xml:space="preserve"> (samosiejki)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0B4BEF">
              <w:rPr>
                <w:rFonts w:eastAsia="Batang"/>
                <w:sz w:val="18"/>
                <w:szCs w:val="18"/>
              </w:rPr>
              <w:t>media (energia, woda) dostępne z nieruchomości sąsiedniej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0B4BEF">
              <w:rPr>
                <w:rFonts w:eastAsia="Batang"/>
                <w:sz w:val="18"/>
                <w:szCs w:val="18"/>
              </w:rPr>
              <w:t xml:space="preserve">dostęp do drogi publicznej, </w:t>
            </w:r>
            <w:r w:rsidR="00E54D32">
              <w:rPr>
                <w:rFonts w:eastAsia="Batang"/>
                <w:sz w:val="18"/>
                <w:szCs w:val="18"/>
              </w:rPr>
              <w:t>dojazd drogą utwardzoną, użytek gruntowy</w:t>
            </w:r>
            <w:r w:rsidR="00746112">
              <w:rPr>
                <w:rFonts w:eastAsia="Batang"/>
                <w:sz w:val="18"/>
                <w:szCs w:val="18"/>
              </w:rPr>
              <w:t xml:space="preserve">- </w:t>
            </w:r>
            <w:r w:rsidR="000B4BEF">
              <w:rPr>
                <w:rFonts w:eastAsia="Batang"/>
                <w:sz w:val="18"/>
                <w:szCs w:val="18"/>
              </w:rPr>
              <w:t>RVI</w:t>
            </w:r>
          </w:p>
        </w:tc>
        <w:tc>
          <w:tcPr>
            <w:tcW w:w="1984" w:type="dxa"/>
          </w:tcPr>
          <w:p w14:paraId="76347F23" w14:textId="77777777" w:rsidR="002952AB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716A4F88" w14:textId="18DE02CD" w:rsidR="005C4CB6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w </w:t>
            </w:r>
            <w:r w:rsidR="00FC1B90" w:rsidRPr="008A50A5">
              <w:rPr>
                <w:rFonts w:eastAsia="Batang"/>
                <w:sz w:val="18"/>
                <w:szCs w:val="18"/>
              </w:rPr>
              <w:t>„</w:t>
            </w:r>
            <w:r w:rsidRPr="008A50A5">
              <w:rPr>
                <w:rFonts w:eastAsia="Batang"/>
                <w:sz w:val="18"/>
                <w:szCs w:val="18"/>
              </w:rPr>
              <w:t xml:space="preserve">Studium </w:t>
            </w:r>
            <w:r w:rsidR="00E05C0A" w:rsidRPr="008A50A5">
              <w:rPr>
                <w:rFonts w:eastAsia="Batang"/>
                <w:sz w:val="18"/>
                <w:szCs w:val="18"/>
              </w:rPr>
              <w:t>uwarunkowań...</w:t>
            </w:r>
            <w:r w:rsidR="00FC1B90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 w:rsidR="00FC1B90" w:rsidRPr="008A50A5">
              <w:rPr>
                <w:rFonts w:eastAsia="Batang"/>
                <w:sz w:val="18"/>
                <w:szCs w:val="18"/>
              </w:rPr>
              <w:t xml:space="preserve"> ozn. jako </w:t>
            </w:r>
            <w:r w:rsidR="00EC7435">
              <w:rPr>
                <w:rFonts w:eastAsia="Batang"/>
                <w:sz w:val="18"/>
                <w:szCs w:val="18"/>
              </w:rPr>
              <w:t>obszary rozwoju zabudowy mieszkaniowej, mieszkaniowo- usługowej;</w:t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</w:p>
          <w:p w14:paraId="56FE6177" w14:textId="1DE665B1" w:rsidR="000B4BEF" w:rsidRPr="008A50A5" w:rsidRDefault="000B4BEF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-możliwość uzyskania warunków zabudowy mieszkaniowej jednorodzinnej</w:t>
            </w:r>
          </w:p>
        </w:tc>
        <w:tc>
          <w:tcPr>
            <w:tcW w:w="1276" w:type="dxa"/>
          </w:tcPr>
          <w:p w14:paraId="77EE06E4" w14:textId="6876034D" w:rsidR="005C4CB6" w:rsidRPr="009C4F3F" w:rsidRDefault="003B7E04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51" w:type="dxa"/>
          </w:tcPr>
          <w:p w14:paraId="018B51EB" w14:textId="4C99774B" w:rsidR="005C4CB6" w:rsidRPr="009C4F3F" w:rsidRDefault="00AA148B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55</w:t>
            </w:r>
            <w:r w:rsidR="00EC7435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7</w:t>
            </w:r>
            <w:r w:rsidR="003B7E04">
              <w:rPr>
                <w:rFonts w:eastAsia="Batang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58D245DD" w14:textId="62BFC31F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 w:rsidR="003B7E04"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1068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429E2B60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A702EB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1970BF">
              <w:rPr>
                <w:sz w:val="20"/>
                <w:szCs w:val="20"/>
              </w:rPr>
              <w:t>0</w:t>
            </w:r>
            <w:r w:rsidR="00A702EB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A702EB">
              <w:rPr>
                <w:sz w:val="20"/>
                <w:szCs w:val="20"/>
              </w:rPr>
              <w:t>1</w:t>
            </w:r>
            <w:r w:rsidR="002E14DA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6E075FCF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A702EB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2E14DA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2E14DA">
              <w:rPr>
                <w:sz w:val="20"/>
                <w:szCs w:val="20"/>
              </w:rPr>
              <w:t>08</w:t>
            </w:r>
          </w:p>
        </w:tc>
      </w:tr>
      <w:tr w:rsidR="000B4BEF" w14:paraId="088DF4C5" w14:textId="77777777" w:rsidTr="00A8130E">
        <w:trPr>
          <w:trHeight w:val="179"/>
        </w:trPr>
        <w:tc>
          <w:tcPr>
            <w:tcW w:w="6572" w:type="dxa"/>
          </w:tcPr>
          <w:p w14:paraId="27630489" w14:textId="3FDD0650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CB1CF3E" w14:textId="1D48032E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6C683E56" w14:textId="2887A5C8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A702EB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A702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A702EB">
              <w:rPr>
                <w:sz w:val="20"/>
                <w:szCs w:val="20"/>
              </w:rPr>
              <w:t>1</w:t>
            </w:r>
            <w:r w:rsidR="002E14DA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14:paraId="762C47A6" w14:textId="42046DC3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1BC5A66A" w14:textId="2686832F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A702EB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2E14DA">
              <w:rPr>
                <w:sz w:val="20"/>
                <w:szCs w:val="20"/>
              </w:rPr>
              <w:t>3</w:t>
            </w:r>
            <w:r w:rsidRPr="00CD212A">
              <w:rPr>
                <w:sz w:val="20"/>
                <w:szCs w:val="20"/>
              </w:rPr>
              <w:t>.</w:t>
            </w:r>
            <w:r w:rsidR="002E14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</w:tr>
      <w:tr w:rsidR="000B4BEF" w14:paraId="2954CF6E" w14:textId="77777777" w:rsidTr="007C3E7C">
        <w:trPr>
          <w:trHeight w:val="179"/>
        </w:trPr>
        <w:tc>
          <w:tcPr>
            <w:tcW w:w="6572" w:type="dxa"/>
          </w:tcPr>
          <w:p w14:paraId="47B8FFC0" w14:textId="220BA68B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W przypadku nieskorzystania z prawa pierwszeństwa nabycia przez osoby uprawnione, przedmiotowa nieruchomość zostanie udostępniona do sprzedaży w formie określonej powyżej.</w:t>
            </w:r>
          </w:p>
        </w:tc>
        <w:tc>
          <w:tcPr>
            <w:tcW w:w="567" w:type="dxa"/>
          </w:tcPr>
          <w:p w14:paraId="1F385459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8ADE0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035886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A67C09A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</w:p>
        </w:tc>
      </w:tr>
      <w:tr w:rsidR="000B4BEF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4636AEE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6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0B4BEF">
      <w:headerReference w:type="default" r:id="rId17"/>
      <w:endnotePr>
        <w:numFmt w:val="decimal"/>
      </w:endnotePr>
      <w:pgSz w:w="16838" w:h="11906" w:orient="landscape"/>
      <w:pgMar w:top="1418" w:right="851" w:bottom="1135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0484613" w14:textId="77777777" w:rsidR="00FC1B90" w:rsidRDefault="00FC1B9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E0CA" w14:textId="77777777" w:rsidR="00F02D51" w:rsidRDefault="00F02D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1A6CC164" w14:textId="77777777" w:rsidR="00CA7FD2" w:rsidRPr="00CA7FD2" w:rsidRDefault="00CA7FD2" w:rsidP="00CA7FD2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 w:rsidRPr="00CA7FD2">
          <w:t>1</w:t>
        </w:r>
        <w:r w:rsidRPr="00CA7FD2">
          <w:fldChar w:fldCharType="end"/>
        </w:r>
      </w:p>
    </w:sdtContent>
  </w:sdt>
  <w:p w14:paraId="44EE3D65" w14:textId="77777777" w:rsidR="00CA7FD2" w:rsidRDefault="00CA7F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AF89" w14:textId="77777777" w:rsidR="00F02D51" w:rsidRDefault="00F02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719B" w14:textId="77777777" w:rsidR="00F02D51" w:rsidRDefault="00F02D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2237" w14:textId="77777777" w:rsidR="00F02D51" w:rsidRDefault="00F02D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B54A" w14:textId="77777777" w:rsidR="00F02D51" w:rsidRDefault="00F02D5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792A2BA2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E05C0A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AA148B">
      <w:rPr>
        <w:rFonts w:eastAsia="Batang" w:cs="Times New Roman"/>
        <w:sz w:val="16"/>
        <w:szCs w:val="16"/>
      </w:rPr>
      <w:t>Nr</w:t>
    </w:r>
    <w:r w:rsidR="00CA4EC6" w:rsidRPr="00AA148B">
      <w:rPr>
        <w:rFonts w:eastAsia="Batang" w:cs="Times New Roman"/>
        <w:sz w:val="16"/>
        <w:szCs w:val="16"/>
      </w:rPr>
      <w:t xml:space="preserve"> </w:t>
    </w:r>
    <w:r w:rsidR="00AA148B" w:rsidRPr="00AA148B">
      <w:rPr>
        <w:rFonts w:eastAsia="Batang" w:cs="Times New Roman"/>
        <w:sz w:val="16"/>
        <w:szCs w:val="16"/>
      </w:rPr>
      <w:t>8</w:t>
    </w:r>
    <w:r w:rsidR="004A09F6" w:rsidRPr="00632E84">
      <w:rPr>
        <w:rFonts w:eastAsia="Batang" w:cs="Times New Roman"/>
        <w:color w:val="FF0000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222BC3">
      <w:rPr>
        <w:rFonts w:eastAsia="Batang" w:cs="Times New Roman"/>
        <w:sz w:val="16"/>
        <w:szCs w:val="16"/>
      </w:rPr>
      <w:t>2</w:t>
    </w:r>
  </w:p>
  <w:p w14:paraId="7D824E95" w14:textId="55EDBC36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A702EB">
      <w:rPr>
        <w:rFonts w:eastAsia="Batang" w:cs="Times New Roman"/>
        <w:sz w:val="16"/>
        <w:szCs w:val="16"/>
      </w:rPr>
      <w:t>1</w:t>
    </w:r>
    <w:r w:rsidR="00AA148B">
      <w:rPr>
        <w:rFonts w:eastAsia="Batang" w:cs="Times New Roman"/>
        <w:sz w:val="16"/>
        <w:szCs w:val="16"/>
      </w:rPr>
      <w:t>7</w:t>
    </w:r>
    <w:r w:rsidR="00E05C0A">
      <w:rPr>
        <w:rFonts w:eastAsia="Batang" w:cs="Times New Roman"/>
        <w:sz w:val="16"/>
        <w:szCs w:val="16"/>
      </w:rPr>
      <w:t xml:space="preserve"> </w:t>
    </w:r>
    <w:r w:rsidR="00222BC3">
      <w:rPr>
        <w:rFonts w:eastAsia="Batang" w:cs="Times New Roman"/>
        <w:sz w:val="16"/>
        <w:szCs w:val="16"/>
      </w:rPr>
      <w:t>stycznia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222BC3">
      <w:rPr>
        <w:rFonts w:eastAsia="Batang" w:cs="Times New Roman"/>
        <w:sz w:val="16"/>
        <w:szCs w:val="16"/>
      </w:rPr>
      <w:t>2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B4BEF"/>
    <w:rsid w:val="000C0F47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60F7"/>
    <w:rsid w:val="001F6F1F"/>
    <w:rsid w:val="0020542D"/>
    <w:rsid w:val="00220734"/>
    <w:rsid w:val="00222908"/>
    <w:rsid w:val="00222BC3"/>
    <w:rsid w:val="002254EF"/>
    <w:rsid w:val="00245C95"/>
    <w:rsid w:val="002633EF"/>
    <w:rsid w:val="00272770"/>
    <w:rsid w:val="002952AB"/>
    <w:rsid w:val="002A07E0"/>
    <w:rsid w:val="002A16FF"/>
    <w:rsid w:val="002B3CAD"/>
    <w:rsid w:val="002C6E0B"/>
    <w:rsid w:val="002E14DA"/>
    <w:rsid w:val="002E2859"/>
    <w:rsid w:val="002F2CCA"/>
    <w:rsid w:val="002F5CED"/>
    <w:rsid w:val="00324186"/>
    <w:rsid w:val="00325DF2"/>
    <w:rsid w:val="003432B7"/>
    <w:rsid w:val="00343FF6"/>
    <w:rsid w:val="00373C77"/>
    <w:rsid w:val="0037403C"/>
    <w:rsid w:val="0037455C"/>
    <w:rsid w:val="00377808"/>
    <w:rsid w:val="003805DF"/>
    <w:rsid w:val="003872C3"/>
    <w:rsid w:val="003935D4"/>
    <w:rsid w:val="003A5650"/>
    <w:rsid w:val="003B3F96"/>
    <w:rsid w:val="003B7E04"/>
    <w:rsid w:val="003C076B"/>
    <w:rsid w:val="00413FB9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650F2"/>
    <w:rsid w:val="00570750"/>
    <w:rsid w:val="00582D35"/>
    <w:rsid w:val="005876C6"/>
    <w:rsid w:val="00597A28"/>
    <w:rsid w:val="005A56AD"/>
    <w:rsid w:val="005A6B47"/>
    <w:rsid w:val="005A7D78"/>
    <w:rsid w:val="005B4B97"/>
    <w:rsid w:val="005C2E3D"/>
    <w:rsid w:val="005C4CB6"/>
    <w:rsid w:val="005E4679"/>
    <w:rsid w:val="006002CA"/>
    <w:rsid w:val="006053F0"/>
    <w:rsid w:val="00632E84"/>
    <w:rsid w:val="00647562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56067"/>
    <w:rsid w:val="0078152E"/>
    <w:rsid w:val="00787531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A50A5"/>
    <w:rsid w:val="008B33DE"/>
    <w:rsid w:val="008D5954"/>
    <w:rsid w:val="008F117C"/>
    <w:rsid w:val="00903D37"/>
    <w:rsid w:val="00927E18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4F3F"/>
    <w:rsid w:val="009D28AD"/>
    <w:rsid w:val="00A11475"/>
    <w:rsid w:val="00A16810"/>
    <w:rsid w:val="00A17E3D"/>
    <w:rsid w:val="00A261DA"/>
    <w:rsid w:val="00A4570D"/>
    <w:rsid w:val="00A552A7"/>
    <w:rsid w:val="00A702EB"/>
    <w:rsid w:val="00A77640"/>
    <w:rsid w:val="00A8050C"/>
    <w:rsid w:val="00A81B26"/>
    <w:rsid w:val="00A92AE7"/>
    <w:rsid w:val="00AA148B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A7FD2"/>
    <w:rsid w:val="00CB0E31"/>
    <w:rsid w:val="00CB4372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FDC"/>
    <w:rsid w:val="00D26196"/>
    <w:rsid w:val="00D415C2"/>
    <w:rsid w:val="00D53749"/>
    <w:rsid w:val="00D53A7B"/>
    <w:rsid w:val="00D71A48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05C0A"/>
    <w:rsid w:val="00E137CC"/>
    <w:rsid w:val="00E1765B"/>
    <w:rsid w:val="00E23807"/>
    <w:rsid w:val="00E24442"/>
    <w:rsid w:val="00E54D32"/>
    <w:rsid w:val="00E57844"/>
    <w:rsid w:val="00E92C12"/>
    <w:rsid w:val="00E96D80"/>
    <w:rsid w:val="00EC22CC"/>
    <w:rsid w:val="00EC7435"/>
    <w:rsid w:val="00ED06D0"/>
    <w:rsid w:val="00EE5BC3"/>
    <w:rsid w:val="00EF2DB1"/>
    <w:rsid w:val="00EF3A4B"/>
    <w:rsid w:val="00EF56D3"/>
    <w:rsid w:val="00F02D51"/>
    <w:rsid w:val="00F31FE7"/>
    <w:rsid w:val="00F36939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ewa.pulit@gminazlot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2022-01-17T11:37:00Z</cp:lastPrinted>
  <dcterms:created xsi:type="dcterms:W3CDTF">2022-01-17T13:27:00Z</dcterms:created>
  <dcterms:modified xsi:type="dcterms:W3CDTF">2022-01-17T13:27:00Z</dcterms:modified>
</cp:coreProperties>
</file>